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4C5D70" w:rsidR="0074568C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C2A3A14" w:rsidR="0074568C" w:rsidRPr="007D19D2" w:rsidRDefault="00F22CAE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343B20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F22CAE" w:rsidRPr="00F22CAE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F3BB2" w:rsidRPr="006F3BB2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Pr="006F3BB2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6F3BB2" w:rsidRPr="006F3BB2">
        <w:rPr>
          <w:rFonts w:ascii="Times New Roman" w:hAnsi="Times New Roman"/>
          <w:b/>
          <w:bCs/>
          <w:i/>
          <w:iCs/>
          <w:sz w:val="24"/>
          <w:szCs w:val="24"/>
        </w:rPr>
        <w:t>Двести пятьдесят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F3341E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color w:val="000000"/>
        </w:rPr>
        <w:t>2</w:t>
      </w:r>
      <w:r w:rsidR="00F22CAE" w:rsidRPr="00F22CAE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E7AA75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593C66" w:rsidRPr="00593C66">
        <w:rPr>
          <w:b/>
          <w:i/>
          <w:sz w:val="22"/>
          <w:szCs w:val="22"/>
        </w:rPr>
        <w:t>2</w:t>
      </w:r>
      <w:r w:rsidR="00F22CAE" w:rsidRPr="00F22CAE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93C66" w:rsidRPr="00593C66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593C66" w:rsidRPr="00593C66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0E4A662" w:rsidR="00610E7E" w:rsidRPr="00FC2AE6" w:rsidRDefault="006F3BB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F3BB2">
        <w:rPr>
          <w:b/>
          <w:bCs/>
          <w:i/>
          <w:iCs/>
          <w:sz w:val="22"/>
          <w:szCs w:val="22"/>
          <w:lang w:val="en-US"/>
        </w:rPr>
        <w:t>25</w:t>
      </w:r>
      <w:r w:rsidR="00180B91" w:rsidRPr="006F3BB2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 пятьдесят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17E3B0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22CAE" w:rsidRPr="00F22CAE">
        <w:rPr>
          <w:b/>
          <w:bCs/>
          <w:i/>
          <w:iCs/>
          <w:color w:val="000000" w:themeColor="text1"/>
          <w:sz w:val="22"/>
          <w:szCs w:val="22"/>
        </w:rPr>
        <w:t>03</w:t>
      </w:r>
      <w:r w:rsidR="00682984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682984" w:rsidRPr="00682984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F22CAE" w:rsidRPr="00F22CA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6F3BB2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5DA956A3" w14:textId="77777777" w:rsidR="00F22CAE" w:rsidRPr="00F22CAE" w:rsidRDefault="00F22CAE" w:rsidP="00F22C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446D935D" w14:textId="77777777" w:rsidR="00F22CAE" w:rsidRPr="00F22CAE" w:rsidRDefault="00F22CAE" w:rsidP="00F22CAE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F22CAE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1, 2, 3, 4</w:t>
      </w:r>
    </w:p>
    <w:p w14:paraId="3ABB430F" w14:textId="77777777" w:rsidR="00F22CAE" w:rsidRPr="00F22CAE" w:rsidRDefault="00F22CAE" w:rsidP="00F22CA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F22CAE">
        <w:rPr>
          <w:rFonts w:ascii="Times New Roman" w:eastAsia="Times New Roman" w:hAnsi="Times New Roman"/>
          <w:bCs/>
          <w:i/>
          <w:iCs/>
        </w:rPr>
        <w:t>Ставка дополнительного дохода(j) = 2%;</w:t>
      </w:r>
    </w:p>
    <w:p w14:paraId="3D085BFC" w14:textId="77777777" w:rsidR="00F22CAE" w:rsidRPr="00F22CAE" w:rsidRDefault="00F22CAE" w:rsidP="00F22CAE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F22CAE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5</w:t>
      </w:r>
    </w:p>
    <w:p w14:paraId="04BD9B9B" w14:textId="77777777" w:rsidR="00F22CAE" w:rsidRPr="00F22CAE" w:rsidRDefault="00F22CAE" w:rsidP="00F22CA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F22CAE">
        <w:rPr>
          <w:rFonts w:ascii="Times New Roman" w:eastAsia="Times New Roman" w:hAnsi="Times New Roman"/>
          <w:bCs/>
          <w:i/>
          <w:iCs/>
        </w:rPr>
        <w:t>Ставка дополнительного дохода(j) = 0%;</w:t>
      </w:r>
    </w:p>
    <w:p w14:paraId="7907409A" w14:textId="77777777" w:rsidR="00F22CAE" w:rsidRPr="00F22CAE" w:rsidRDefault="00F22CAE" w:rsidP="00F22CAE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F22CAE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6</w:t>
      </w:r>
    </w:p>
    <w:p w14:paraId="26465619" w14:textId="77777777" w:rsidR="00F22CAE" w:rsidRPr="00F22CAE" w:rsidRDefault="00F22CAE" w:rsidP="00F22CAE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/>
          <w:bCs/>
          <w:i/>
          <w:iCs/>
        </w:rPr>
      </w:pPr>
      <w:r w:rsidRPr="00F22CAE">
        <w:rPr>
          <w:rFonts w:ascii="Times New Roman" w:eastAsia="Times New Roman" w:hAnsi="Times New Roman"/>
          <w:bCs/>
          <w:i/>
          <w:iCs/>
        </w:rPr>
        <w:t>Ставка дополнительного дохода(j) =</w:t>
      </w:r>
      <m:oMath>
        <m:r>
          <w:rPr>
            <w:rFonts w:ascii="Cambria Math" w:eastAsia="Times New Roman" w:hAnsi="Cambria Math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</w:rPr>
              <m:t>-1;0</m:t>
            </m:r>
          </m:e>
        </m:d>
      </m:oMath>
      <w:r w:rsidRPr="00F22CAE">
        <w:rPr>
          <w:rFonts w:ascii="Times New Roman" w:eastAsia="Times New Roman" w:hAnsi="Times New Roman"/>
          <w:bCs/>
          <w:i/>
          <w:iCs/>
        </w:rPr>
        <w:t>, где</w:t>
      </w:r>
    </w:p>
    <w:p w14:paraId="7361C430" w14:textId="39B83989" w:rsidR="00F22CAE" w:rsidRPr="00F22CAE" w:rsidRDefault="00F22CAE" w:rsidP="00F22C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F22CAE">
        <w:rPr>
          <w:rFonts w:ascii="Times New Roman" w:eastAsia="Times New Roman" w:hAnsi="Times New Roman"/>
          <w:b/>
          <w:i/>
          <w:szCs w:val="24"/>
          <w:lang w:val="en-US"/>
        </w:rPr>
        <w:t>R</w:t>
      </w:r>
      <w:r w:rsidRPr="00F22CAE">
        <w:rPr>
          <w:rFonts w:ascii="Times New Roman" w:eastAsia="Times New Roman" w:hAnsi="Times New Roman"/>
          <w:szCs w:val="24"/>
        </w:rPr>
        <w:t xml:space="preserve"> –</w:t>
      </w:r>
      <w:r w:rsidRPr="00F22CAE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F22CAE">
        <w:rPr>
          <w:rFonts w:ascii="Times New Roman" w:eastAsia="Times New Roman" w:hAnsi="Times New Roman"/>
          <w:szCs w:val="24"/>
        </w:rPr>
        <w:t>величина</w:t>
      </w:r>
      <w:r w:rsidRPr="00F22CAE">
        <w:rPr>
          <w:rFonts w:ascii="Times New Roman" w:eastAsia="Times New Roman" w:hAnsi="Times New Roman"/>
          <w:b/>
          <w:i/>
          <w:szCs w:val="24"/>
        </w:rPr>
        <w:t xml:space="preserve"> Параметра</w:t>
      </w:r>
      <w:r w:rsidRPr="00F22CAE">
        <w:rPr>
          <w:rFonts w:ascii="Times New Roman" w:eastAsia="Times New Roman" w:hAnsi="Times New Roman"/>
          <w:szCs w:val="24"/>
        </w:rPr>
        <w:t xml:space="preserve">, в процентах. Определяется 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Параметра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 раскрывается Эмитентом в соответствии с подпунктом 23.3 (1) пункта 11 Программы; </w:t>
      </w:r>
    </w:p>
    <w:p w14:paraId="08B04DBE" w14:textId="77777777" w:rsidR="00F22CAE" w:rsidRPr="00F22CAE" w:rsidRDefault="00F22CAE" w:rsidP="00F22CA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F22CAE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F22CAE">
        <w:rPr>
          <w:rFonts w:ascii="Times New Roman" w:eastAsia="Times New Roman" w:hAnsi="Times New Roman"/>
          <w:b/>
          <w:i/>
          <w:szCs w:val="24"/>
        </w:rPr>
        <w:t>j</w:t>
      </w:r>
      <w:r w:rsidRPr="00F22CAE">
        <w:rPr>
          <w:rFonts w:ascii="Times New Roman" w:eastAsia="Times New Roman" w:hAnsi="Times New Roman"/>
          <w:b/>
          <w:szCs w:val="24"/>
        </w:rPr>
        <w:t xml:space="preserve"> </w:t>
      </w:r>
      <w:r w:rsidRPr="00F22CAE">
        <w:rPr>
          <w:rFonts w:ascii="Times New Roman" w:eastAsia="Times New Roman" w:hAnsi="Times New Roman"/>
          <w:szCs w:val="24"/>
        </w:rPr>
        <w:t xml:space="preserve">= 1, 2, 3, 4, 5, 6); </w:t>
      </w:r>
    </w:p>
    <w:p w14:paraId="6EA31F81" w14:textId="77777777" w:rsidR="00F22CAE" w:rsidRPr="00F22CAE" w:rsidRDefault="00F22CAE" w:rsidP="00F22CA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F22CAE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F22CAE">
        <w:rPr>
          <w:rFonts w:ascii="Times New Roman" w:eastAsia="Times New Roman" w:hAnsi="Times New Roman"/>
          <w:color w:val="000000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02FC7B86" w14:textId="77777777" w:rsidR="00F22CAE" w:rsidRPr="00F22CAE" w:rsidRDefault="00F22CAE" w:rsidP="00F22CA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F22CAE">
        <w:rPr>
          <w:rFonts w:ascii="Times New Roman" w:eastAsia="Times New Roman" w:hAnsi="Times New Roman"/>
          <w:color w:val="000000"/>
          <w:szCs w:val="24"/>
        </w:rPr>
        <w:t xml:space="preserve"> – цена закрытия Референсного актива</w:t>
      </w:r>
      <w:r w:rsidRPr="00F22CAE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  <w:r w:rsidRPr="00F22CAE">
        <w:rPr>
          <w:rFonts w:ascii="Times New Roman" w:eastAsia="Times New Roman" w:hAnsi="Times New Roman"/>
          <w:color w:val="000000"/>
          <w:szCs w:val="24"/>
        </w:rPr>
        <w:t xml:space="preserve">в Дату определения дополнительного дохода </w:t>
      </w:r>
      <w:r w:rsidRPr="00F22CAE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F22CAE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F22CAE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F22CAE">
        <w:rPr>
          <w:rFonts w:ascii="Times New Roman" w:eastAsia="Times New Roman" w:hAnsi="Times New Roman"/>
          <w:color w:val="000000"/>
          <w:szCs w:val="24"/>
        </w:rPr>
        <w:t xml:space="preserve"> на соответствующей бирже Референсного актива в валюте Референсного актива. </w:t>
      </w:r>
    </w:p>
    <w:p w14:paraId="2B1B6746" w14:textId="77777777" w:rsidR="00F22CAE" w:rsidRPr="00F22CAE" w:rsidRDefault="00F22CAE" w:rsidP="00F22CAE">
      <w:p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20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F22CAE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 с Референсным активом на соответствующей Бирже Референсного актива</w:t>
      </w:r>
      <w:r w:rsidRPr="00F22CAE">
        <w:rPr>
          <w:rFonts w:ascii="Times New Roman" w:eastAsia="Times New Roman" w:hAnsi="Times New Roman"/>
          <w:sz w:val="18"/>
          <w:szCs w:val="20"/>
        </w:rPr>
        <w:t>.</w:t>
      </w:r>
    </w:p>
    <w:p w14:paraId="5555A69F" w14:textId="77777777" w:rsidR="00F22CAE" w:rsidRPr="00F22CAE" w:rsidRDefault="00F22CAE" w:rsidP="00F22CA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 - 5-ый (Пятый) Торговый день, предшествующий Дате выплаты дополнительного дохода. </w:t>
      </w:r>
      <w:r w:rsidRPr="00F22CAE">
        <w:rPr>
          <w:rFonts w:ascii="Times New Roman" w:eastAsia="Times New Roman" w:hAnsi="Times New Roman"/>
          <w:color w:val="000000"/>
          <w:szCs w:val="24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51E60976" w14:textId="77777777" w:rsidR="00F22CAE" w:rsidRPr="00F22CAE" w:rsidRDefault="00F22CAE" w:rsidP="00F22CA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Характеристики</w:t>
      </w:r>
      <w:r w:rsidRPr="00F22CAE">
        <w:rPr>
          <w:rFonts w:ascii="Times New Roman" w:eastAsia="Times New Roman" w:hAnsi="Times New Roman"/>
          <w:b/>
          <w:bCs/>
          <w:i/>
          <w:color w:val="000000"/>
          <w:szCs w:val="24"/>
        </w:rPr>
        <w:t xml:space="preserve"> Референсного актива</w:t>
      </w:r>
    </w:p>
    <w:tbl>
      <w:tblPr>
        <w:tblStyle w:val="TableGridLight11"/>
        <w:tblW w:w="10036" w:type="dxa"/>
        <w:tblInd w:w="-5" w:type="dxa"/>
        <w:tblLook w:val="04A0" w:firstRow="1" w:lastRow="0" w:firstColumn="1" w:lastColumn="0" w:noHBand="0" w:noVBand="1"/>
      </w:tblPr>
      <w:tblGrid>
        <w:gridCol w:w="2830"/>
        <w:gridCol w:w="7206"/>
      </w:tblGrid>
      <w:tr w:rsidR="00F22CAE" w:rsidRPr="00F22CAE" w14:paraId="164F6B20" w14:textId="77777777" w:rsidTr="00F22CA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05DCB2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7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F0508F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 xml:space="preserve">Индекс </w:t>
            </w:r>
            <w:r w:rsidRPr="00F22CAE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IMOEX</w:t>
            </w:r>
          </w:p>
        </w:tc>
      </w:tr>
      <w:tr w:rsidR="00F22CAE" w:rsidRPr="00F22CAE" w14:paraId="50CBE021" w14:textId="77777777" w:rsidTr="00F22CA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CD5C26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  <w:t>ISIN</w:t>
            </w:r>
          </w:p>
        </w:tc>
        <w:tc>
          <w:tcPr>
            <w:tcW w:w="7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55207C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>RU000A0JP</w:t>
            </w:r>
            <w:r w:rsidRPr="00F22CAE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7K5</w:t>
            </w:r>
          </w:p>
        </w:tc>
      </w:tr>
      <w:tr w:rsidR="00F22CAE" w:rsidRPr="00F22CAE" w14:paraId="34E05F82" w14:textId="77777777" w:rsidTr="00F22CA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23CD6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>Валюта</w:t>
            </w:r>
          </w:p>
        </w:tc>
        <w:tc>
          <w:tcPr>
            <w:tcW w:w="7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C4B855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>Рубли</w:t>
            </w:r>
          </w:p>
        </w:tc>
      </w:tr>
      <w:tr w:rsidR="00F22CAE" w:rsidRPr="00F22CAE" w14:paraId="79338C07" w14:textId="77777777" w:rsidTr="00F22CAE">
        <w:trPr>
          <w:trHeight w:val="10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BCD4C5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>Биржа</w:t>
            </w:r>
          </w:p>
        </w:tc>
        <w:tc>
          <w:tcPr>
            <w:tcW w:w="7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3B5B8A" w14:textId="77777777" w:rsidR="00F22CAE" w:rsidRPr="00F22CAE" w:rsidRDefault="00F22CAE" w:rsidP="00F22CAE">
            <w:pPr>
              <w:spacing w:before="20" w:after="20" w:line="240" w:lineRule="auto"/>
              <w:ind w:right="127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>Московская биржа</w:t>
            </w:r>
          </w:p>
        </w:tc>
      </w:tr>
      <w:tr w:rsidR="00F22CAE" w:rsidRPr="00F22CAE" w14:paraId="3BD6F8DC" w14:textId="77777777" w:rsidTr="00F22CA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8FF303" w14:textId="77777777" w:rsidR="00F22CAE" w:rsidRPr="00F22CAE" w:rsidRDefault="00F22CAE" w:rsidP="00F22CA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F22CAE">
              <w:rPr>
                <w:rFonts w:ascii="Times New Roman" w:eastAsia="Times New Roman" w:hAnsi="Times New Roman"/>
                <w:color w:val="000000"/>
                <w:szCs w:val="24"/>
              </w:rPr>
              <w:t>Источник цены</w:t>
            </w:r>
          </w:p>
        </w:tc>
        <w:tc>
          <w:tcPr>
            <w:tcW w:w="7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6A8758" w14:textId="77777777" w:rsidR="00F22CAE" w:rsidRPr="00F22CAE" w:rsidRDefault="002347FF" w:rsidP="00F22CA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8" w:history="1">
              <w:r w:rsidR="00F22CAE" w:rsidRPr="00F22CAE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https://www.moex.com/ru/index/IMOEX/archive/</w:t>
              </w:r>
            </w:hyperlink>
            <w:r w:rsidR="00F22CAE" w:rsidRPr="00F22CAE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="00F22CAE" w:rsidRPr="00F22CAE">
              <w:rPr>
                <w:rFonts w:ascii="Times New Roman" w:eastAsia="Times New Roman" w:hAnsi="Times New Roman"/>
                <w:color w:val="000000"/>
                <w:szCs w:val="24"/>
              </w:rPr>
              <w:t>Значение “Закрытие»</w:t>
            </w:r>
          </w:p>
        </w:tc>
      </w:tr>
    </w:tbl>
    <w:p w14:paraId="4115EB1C" w14:textId="77777777" w:rsidR="00F22CAE" w:rsidRPr="00F22CAE" w:rsidRDefault="00F22CAE" w:rsidP="00F22CAE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F22CAE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0E96D30" w14:textId="77777777" w:rsidR="00F22CAE" w:rsidRPr="00F22CAE" w:rsidRDefault="00F22CAE" w:rsidP="00F22CA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F22CAE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F22CAE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F22CAE">
        <w:rPr>
          <w:rFonts w:ascii="Times New Roman" w:eastAsia="Times New Roman" w:hAnsi="Times New Roman"/>
          <w:i/>
          <w:szCs w:val="24"/>
        </w:rPr>
        <w:t xml:space="preserve"> </w:t>
      </w:r>
      <w:r w:rsidRPr="00F22CAE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F22CAE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F22CAE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F22CAE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160E8004" w14:textId="77777777" w:rsidR="00F22CAE" w:rsidRPr="00F22CAE" w:rsidRDefault="00F22CAE" w:rsidP="00F22C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F22CAE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F22CAE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F22CAE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551C80F" w14:textId="77777777" w:rsidR="00F22CAE" w:rsidRPr="00F22CAE" w:rsidRDefault="00F22CAE" w:rsidP="00F22C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F22CAE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F22CAE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957E491" w14:textId="6D74CC0A" w:rsidR="00F22CAE" w:rsidRPr="00F22CAE" w:rsidRDefault="00F22CAE" w:rsidP="00F22CAE">
      <w:pPr>
        <w:pStyle w:val="Default"/>
        <w:spacing w:before="120"/>
        <w:jc w:val="both"/>
        <w:rPr>
          <w:b/>
          <w:i/>
          <w:szCs w:val="22"/>
        </w:rPr>
      </w:pPr>
      <w:r w:rsidRPr="00F22CAE">
        <w:rPr>
          <w:rFonts w:eastAsia="Times New Roman"/>
          <w:bCs/>
          <w:iCs/>
          <w:color w:val="auto"/>
          <w:sz w:val="22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</w:t>
      </w:r>
      <w:r w:rsidRPr="00F22CAE">
        <w:rPr>
          <w:rFonts w:eastAsia="Times New Roman"/>
          <w:bCs/>
          <w:iCs/>
          <w:color w:val="auto"/>
          <w:sz w:val="22"/>
        </w:rPr>
        <w:lastRenderedPageBreak/>
        <w:t>знак после запятой не изменяется).</w:t>
      </w:r>
      <w:bookmarkEnd w:id="0"/>
      <w:bookmarkEnd w:id="1"/>
      <w:bookmarkEnd w:id="2"/>
    </w:p>
    <w:sectPr w:rsidR="00F22CAE" w:rsidRPr="00F22CAE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993C8" w14:textId="77777777" w:rsidR="002347FF" w:rsidRDefault="002347FF" w:rsidP="0053664B">
      <w:pPr>
        <w:spacing w:after="0" w:line="240" w:lineRule="auto"/>
      </w:pPr>
      <w:r>
        <w:separator/>
      </w:r>
    </w:p>
  </w:endnote>
  <w:endnote w:type="continuationSeparator" w:id="0">
    <w:p w14:paraId="22BADC93" w14:textId="77777777" w:rsidR="002347FF" w:rsidRDefault="002347F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05BF6E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6095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1FAB7" w14:textId="77777777" w:rsidR="002347FF" w:rsidRDefault="002347FF" w:rsidP="0053664B">
      <w:pPr>
        <w:spacing w:after="0" w:line="240" w:lineRule="auto"/>
      </w:pPr>
      <w:r>
        <w:separator/>
      </w:r>
    </w:p>
  </w:footnote>
  <w:footnote w:type="continuationSeparator" w:id="0">
    <w:p w14:paraId="0659B45F" w14:textId="77777777" w:rsidR="002347FF" w:rsidRDefault="002347F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7FF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1F74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3FAC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0A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84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BB2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28C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2DBD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07E6F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253"/>
    <w:rsid w:val="00C52322"/>
    <w:rsid w:val="00C52E6E"/>
    <w:rsid w:val="00C53ACA"/>
    <w:rsid w:val="00C549F1"/>
    <w:rsid w:val="00C60953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5A22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2CAE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B0CEBB0-0D1B-4D66-AB6E-BFC23225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F22CA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ndex/IMOEX/archive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14CF-ED72-42CE-87ED-CD0A9A97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4736</Words>
  <Characters>26998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2020-11-02T13:29:00Z</dcterms:created>
  <dcterms:modified xsi:type="dcterms:W3CDTF">2020-11-02T13:29:00Z</dcterms:modified>
</cp:coreProperties>
</file>